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711ED">
        <w:rPr>
          <w:sz w:val="28"/>
        </w:rPr>
        <w:t>Brötchen</w:t>
      </w:r>
    </w:p>
    <w:p w:rsidR="00694A63" w:rsidRPr="00694A63" w:rsidRDefault="00694A63">
      <w:pPr>
        <w:pStyle w:val="IQB-Teilaufgabentitel"/>
        <w:rPr>
          <w:b/>
        </w:rPr>
      </w:pPr>
      <w:r w:rsidRPr="00694A63">
        <w:rPr>
          <w:b/>
        </w:rPr>
        <w:t>Merkmale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711ED" w:rsidTr="00B711ED">
        <w:tc>
          <w:tcPr>
            <w:tcW w:w="2466" w:type="dxa"/>
            <w:tcBorders>
              <w:top w:val="single" w:sz="4" w:space="0" w:color="auto"/>
            </w:tcBorders>
            <w:vAlign w:val="center"/>
          </w:tcPr>
          <w:p w:rsidR="00B711ED" w:rsidRDefault="00B711ED" w:rsidP="00C350B6">
            <w:pPr>
              <w:pStyle w:val="IQB-Merkmal"/>
            </w:pPr>
            <w:r>
              <w:t>Leitidee</w:t>
            </w:r>
          </w:p>
        </w:tc>
        <w:tc>
          <w:tcPr>
            <w:tcW w:w="6604" w:type="dxa"/>
            <w:tcBorders>
              <w:top w:val="single" w:sz="4" w:space="0" w:color="auto"/>
            </w:tcBorders>
          </w:tcPr>
          <w:p w:rsidR="00B711ED" w:rsidRDefault="00B711ED" w:rsidP="00C350B6">
            <w:pPr>
              <w:pStyle w:val="IQB-Merkmalswert"/>
            </w:pPr>
            <w:r>
              <w:t>1. Zahl</w:t>
            </w:r>
          </w:p>
        </w:tc>
      </w:tr>
      <w:tr w:rsidR="00B711ED" w:rsidTr="00B711ED">
        <w:tc>
          <w:tcPr>
            <w:tcW w:w="2466" w:type="dxa"/>
            <w:vAlign w:val="center"/>
          </w:tcPr>
          <w:p w:rsidR="00B711ED" w:rsidRDefault="00B711ED" w:rsidP="00C350B6">
            <w:pPr>
              <w:pStyle w:val="IQB-Merkmal"/>
            </w:pPr>
            <w:r>
              <w:t>Allgemeine Kompetenz</w:t>
            </w:r>
          </w:p>
        </w:tc>
        <w:tc>
          <w:tcPr>
            <w:tcW w:w="6604" w:type="dxa"/>
          </w:tcPr>
          <w:p w:rsidR="00B711ED" w:rsidRDefault="00B711ED" w:rsidP="00C350B6">
            <w:pPr>
              <w:pStyle w:val="IQB-Merkmalswert"/>
            </w:pPr>
            <w:r>
              <w:t>Mathematisches Modellieren (K3),</w:t>
            </w:r>
          </w:p>
          <w:p w:rsidR="00B711ED" w:rsidRDefault="00B711ED" w:rsidP="00C350B6">
            <w:pPr>
              <w:pStyle w:val="IQB-Merkmalswert"/>
            </w:pPr>
            <w:r>
              <w:t>Mit Mathematik symbolisch/ formal/ technisch umgehen (K5)</w:t>
            </w:r>
          </w:p>
        </w:tc>
      </w:tr>
      <w:tr w:rsidR="00B711ED" w:rsidTr="00B711ED">
        <w:tc>
          <w:tcPr>
            <w:tcW w:w="2466" w:type="dxa"/>
            <w:vAlign w:val="center"/>
          </w:tcPr>
          <w:p w:rsidR="00B711ED" w:rsidRDefault="00B711ED" w:rsidP="00C350B6">
            <w:pPr>
              <w:pStyle w:val="IQB-Merkmal"/>
            </w:pPr>
            <w:r>
              <w:t>Anforderungsbereich</w:t>
            </w:r>
          </w:p>
        </w:tc>
        <w:tc>
          <w:tcPr>
            <w:tcW w:w="6604" w:type="dxa"/>
          </w:tcPr>
          <w:p w:rsidR="00B711ED" w:rsidRDefault="00B711ED" w:rsidP="00C350B6">
            <w:pPr>
              <w:pStyle w:val="IQB-Merkmalswert"/>
            </w:pPr>
            <w:r>
              <w:t>I</w:t>
            </w:r>
          </w:p>
        </w:tc>
      </w:tr>
      <w:tr w:rsidR="00B711ED" w:rsidTr="00B711ED">
        <w:tc>
          <w:tcPr>
            <w:tcW w:w="2466" w:type="dxa"/>
            <w:tcBorders>
              <w:bottom w:val="single" w:sz="4" w:space="0" w:color="auto"/>
            </w:tcBorders>
            <w:vAlign w:val="center"/>
          </w:tcPr>
          <w:p w:rsidR="00B711ED" w:rsidRDefault="00B711ED" w:rsidP="00C350B6">
            <w:pPr>
              <w:pStyle w:val="IQB-Merkmal"/>
            </w:pPr>
            <w:r>
              <w:t>Kompetenzstufe</w:t>
            </w:r>
          </w:p>
        </w:tc>
        <w:tc>
          <w:tcPr>
            <w:tcW w:w="6604" w:type="dxa"/>
            <w:tcBorders>
              <w:bottom w:val="single" w:sz="4" w:space="0" w:color="auto"/>
            </w:tcBorders>
          </w:tcPr>
          <w:p w:rsidR="00B711ED" w:rsidRDefault="00B711ED" w:rsidP="00C350B6">
            <w:pPr>
              <w:pStyle w:val="IQB-Merkmalswert"/>
            </w:pPr>
            <w:r>
              <w:t>1a</w:t>
            </w:r>
          </w:p>
        </w:tc>
      </w:tr>
    </w:tbl>
    <w:p w:rsidR="00694A63" w:rsidRPr="00694A63" w:rsidRDefault="00694A63">
      <w:pPr>
        <w:pStyle w:val="IQB-Teilaufgabentitel"/>
        <w:rPr>
          <w:b/>
        </w:rPr>
      </w:pPr>
      <w:r w:rsidRPr="00694A63">
        <w:rPr>
          <w:b/>
        </w:rPr>
        <w:t>Merkmale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711ED" w:rsidTr="00B711ED">
        <w:tc>
          <w:tcPr>
            <w:tcW w:w="2466" w:type="dxa"/>
            <w:tcBorders>
              <w:top w:val="single" w:sz="4" w:space="0" w:color="auto"/>
            </w:tcBorders>
            <w:vAlign w:val="center"/>
          </w:tcPr>
          <w:p w:rsidR="00B711ED" w:rsidRDefault="00B711ED" w:rsidP="00C350B6">
            <w:pPr>
              <w:pStyle w:val="IQB-Merkmal"/>
            </w:pPr>
            <w:r>
              <w:t>Leitidee</w:t>
            </w:r>
          </w:p>
        </w:tc>
        <w:tc>
          <w:tcPr>
            <w:tcW w:w="6604" w:type="dxa"/>
            <w:tcBorders>
              <w:top w:val="single" w:sz="4" w:space="0" w:color="auto"/>
            </w:tcBorders>
          </w:tcPr>
          <w:p w:rsidR="00B711ED" w:rsidRDefault="00B711ED" w:rsidP="00C350B6">
            <w:pPr>
              <w:pStyle w:val="IQB-Merkmalswert"/>
            </w:pPr>
            <w:r>
              <w:t>1. Zahl</w:t>
            </w:r>
          </w:p>
        </w:tc>
      </w:tr>
      <w:tr w:rsidR="00B711ED" w:rsidTr="00B711ED">
        <w:tc>
          <w:tcPr>
            <w:tcW w:w="2466" w:type="dxa"/>
            <w:vAlign w:val="center"/>
          </w:tcPr>
          <w:p w:rsidR="00B711ED" w:rsidRDefault="00B711ED" w:rsidP="00C350B6">
            <w:pPr>
              <w:pStyle w:val="IQB-Merkmal"/>
            </w:pPr>
            <w:r>
              <w:t>Allgemeine Kompetenz</w:t>
            </w:r>
          </w:p>
        </w:tc>
        <w:tc>
          <w:tcPr>
            <w:tcW w:w="6604" w:type="dxa"/>
          </w:tcPr>
          <w:p w:rsidR="00B711ED" w:rsidRDefault="00B711ED" w:rsidP="00C350B6">
            <w:pPr>
              <w:pStyle w:val="IQB-Merkmalswert"/>
            </w:pPr>
            <w:r w:rsidRPr="00F35B5E">
              <w:t>Probleme mathematisch lösen (K2)</w:t>
            </w:r>
            <w:r>
              <w:t>,</w:t>
            </w:r>
          </w:p>
          <w:p w:rsidR="00B711ED" w:rsidRDefault="00B711ED" w:rsidP="00C350B6">
            <w:pPr>
              <w:pStyle w:val="IQB-Merkmalswert"/>
            </w:pPr>
            <w:r w:rsidRPr="00F35B5E">
              <w:t>Mit Mathematik symbolisch/ formal/ technisch umgehen (K5)</w:t>
            </w:r>
          </w:p>
        </w:tc>
      </w:tr>
      <w:tr w:rsidR="00B711ED" w:rsidTr="00B711ED">
        <w:tc>
          <w:tcPr>
            <w:tcW w:w="2466" w:type="dxa"/>
            <w:vAlign w:val="center"/>
          </w:tcPr>
          <w:p w:rsidR="00B711ED" w:rsidRDefault="00B711ED" w:rsidP="00C350B6">
            <w:pPr>
              <w:pStyle w:val="IQB-Merkmal"/>
            </w:pPr>
            <w:r>
              <w:t>Anforderungsbereich</w:t>
            </w:r>
          </w:p>
        </w:tc>
        <w:tc>
          <w:tcPr>
            <w:tcW w:w="6604" w:type="dxa"/>
          </w:tcPr>
          <w:p w:rsidR="00B711ED" w:rsidRDefault="00B711ED" w:rsidP="00C350B6">
            <w:pPr>
              <w:pStyle w:val="IQB-Merkmalswert"/>
            </w:pPr>
            <w:r>
              <w:t>II</w:t>
            </w:r>
          </w:p>
        </w:tc>
      </w:tr>
      <w:tr w:rsidR="00B711ED" w:rsidTr="00B711ED">
        <w:tc>
          <w:tcPr>
            <w:tcW w:w="2466" w:type="dxa"/>
            <w:tcBorders>
              <w:bottom w:val="single" w:sz="4" w:space="0" w:color="auto"/>
            </w:tcBorders>
            <w:vAlign w:val="center"/>
          </w:tcPr>
          <w:p w:rsidR="00B711ED" w:rsidRDefault="00B711ED" w:rsidP="00C350B6">
            <w:pPr>
              <w:pStyle w:val="IQB-Merkmal"/>
            </w:pPr>
            <w:r>
              <w:t>Kompetenzstufe</w:t>
            </w:r>
          </w:p>
        </w:tc>
        <w:tc>
          <w:tcPr>
            <w:tcW w:w="6604" w:type="dxa"/>
            <w:tcBorders>
              <w:bottom w:val="single" w:sz="4" w:space="0" w:color="auto"/>
            </w:tcBorders>
          </w:tcPr>
          <w:p w:rsidR="00B711ED" w:rsidRDefault="00B711ED" w:rsidP="00C350B6">
            <w:pPr>
              <w:pStyle w:val="IQB-Merkmalswert"/>
            </w:pPr>
            <w:r>
              <w:t>2</w:t>
            </w:r>
          </w:p>
        </w:tc>
      </w:tr>
    </w:tbl>
    <w:p w:rsidR="00694A63" w:rsidRPr="00694A63" w:rsidRDefault="00694A63" w:rsidP="00694A63">
      <w:pPr>
        <w:pStyle w:val="IQB-Teilaufgabentitel"/>
        <w:rPr>
          <w:b/>
        </w:rPr>
      </w:pPr>
      <w:r w:rsidRPr="00694A63">
        <w:rPr>
          <w:b/>
        </w:rPr>
        <w:t>Aufgabenbezogener Kommentar</w:t>
      </w:r>
    </w:p>
    <w:p w:rsidR="00B711ED" w:rsidRPr="00813630" w:rsidRDefault="00B711ED" w:rsidP="00B711ED">
      <w:pPr>
        <w:pStyle w:val="IQB-Standard"/>
        <w:rPr>
          <w:sz w:val="22"/>
          <w:szCs w:val="22"/>
        </w:rPr>
      </w:pPr>
      <w:r w:rsidRPr="00813630">
        <w:rPr>
          <w:sz w:val="22"/>
          <w:szCs w:val="22"/>
        </w:rPr>
        <w:t>Die Aufgabe gehört zur Leitidee Zahl (L1), da hier mit natürlichen Zahlen gerechnet und Größenvergleiche angestellt werden sollen.</w:t>
      </w:r>
    </w:p>
    <w:p w:rsidR="00B711ED" w:rsidRPr="00813630" w:rsidRDefault="00B711ED" w:rsidP="00B711ED">
      <w:pPr>
        <w:pStyle w:val="IQB-Standard"/>
        <w:rPr>
          <w:sz w:val="22"/>
          <w:szCs w:val="22"/>
        </w:rPr>
      </w:pPr>
      <w:r w:rsidRPr="00813630">
        <w:rPr>
          <w:sz w:val="22"/>
          <w:szCs w:val="22"/>
        </w:rPr>
        <w:t>Die Schülerinnen und Schüler müssen in der ersten Teilaufgabe zunächst überlegen, wie sich die beschriebene realitätsnahe Problemstellung in mathematische Objekte in Form einer Rechenvorschrift</w:t>
      </w:r>
      <w:r>
        <w:rPr>
          <w:sz w:val="22"/>
          <w:szCs w:val="22"/>
        </w:rPr>
        <w:t xml:space="preserve"> </w:t>
      </w:r>
      <w:r w:rsidRPr="00813630">
        <w:rPr>
          <w:sz w:val="22"/>
          <w:szCs w:val="22"/>
        </w:rPr>
        <w:t>übertragen lässt (K3). Um eine korrekte Antwort zu erhalten, müssen einfache Routinerechnungen durchgeführt werden (K5).</w:t>
      </w:r>
    </w:p>
    <w:p w:rsidR="00B711ED" w:rsidRPr="00B711ED" w:rsidRDefault="00B711ED" w:rsidP="00B711ED">
      <w:pPr>
        <w:pStyle w:val="IQB-Standard"/>
        <w:rPr>
          <w:sz w:val="22"/>
          <w:szCs w:val="22"/>
        </w:rPr>
      </w:pPr>
      <w:r w:rsidRPr="00813630">
        <w:rPr>
          <w:sz w:val="22"/>
          <w:szCs w:val="22"/>
        </w:rPr>
        <w:t>In der zweiten Teilaufgabe sollen verschiedene Kaufstrategien miteinander verglichen werden. Über die konkrete Vorgehensweise können die Lernenden dabei weitestgehend selbst entscheiden. Es handelt sich somit nicht um ein typisches Routineproblem (K2). Es lassen sich etwa die Kaufpreise bei allen gegebenen Strategien einzeln berechnen und vergleichen (K2).</w:t>
      </w:r>
    </w:p>
    <w:p w:rsidR="00B711ED" w:rsidRPr="00B711ED" w:rsidRDefault="00B711ED" w:rsidP="00B711ED">
      <w:pPr>
        <w:spacing w:before="60"/>
        <w:rPr>
          <w:rFonts w:ascii="Arial" w:hAnsi="Arial" w:cs="Arial"/>
          <w:sz w:val="22"/>
          <w:szCs w:val="22"/>
        </w:rPr>
      </w:pPr>
      <w:r w:rsidRPr="00B711ED">
        <w:rPr>
          <w:rFonts w:ascii="Arial" w:hAnsi="Arial" w:cs="Arial"/>
          <w:sz w:val="22"/>
          <w:szCs w:val="22"/>
        </w:rPr>
        <w:t xml:space="preserve">Teilaufgabe 1 wird dem Anforderungsbereich I zugeordnet, weil hier lediglich ein naheliegendes mathematisches Modell aufgestellt und einfache Routinerechnungen durchgeführt werden müssen. Die Teilaufgabe 2 gehört dagegen aufgrund der </w:t>
      </w:r>
      <w:proofErr w:type="spellStart"/>
      <w:r w:rsidRPr="00B711ED">
        <w:rPr>
          <w:rFonts w:ascii="Arial" w:hAnsi="Arial" w:cs="Arial"/>
          <w:sz w:val="22"/>
          <w:szCs w:val="22"/>
        </w:rPr>
        <w:t>Mehrschrittigkeit</w:t>
      </w:r>
      <w:proofErr w:type="spellEnd"/>
      <w:r w:rsidRPr="00B711ED">
        <w:rPr>
          <w:rFonts w:ascii="Arial" w:hAnsi="Arial" w:cs="Arial"/>
          <w:sz w:val="22"/>
          <w:szCs w:val="22"/>
        </w:rPr>
        <w:t xml:space="preserve"> und der Variation bei der Anwendung des Rechenmodells zu Anforderungsbereich II.</w:t>
      </w:r>
    </w:p>
    <w:p w:rsidR="00694A63" w:rsidRPr="00694A63" w:rsidRDefault="00694A63" w:rsidP="00694A63">
      <w:pPr>
        <w:pStyle w:val="IQB-Teilaufgabentitel"/>
        <w:rPr>
          <w:b/>
        </w:rPr>
      </w:pPr>
      <w:r w:rsidRPr="00694A63">
        <w:rPr>
          <w:b/>
        </w:rPr>
        <w:t>Anregungen für den Unterricht</w:t>
      </w:r>
    </w:p>
    <w:p w:rsidR="00B711ED" w:rsidRPr="00B711ED" w:rsidRDefault="00B711ED" w:rsidP="00B711ED">
      <w:pPr>
        <w:rPr>
          <w:rFonts w:ascii="Arial" w:hAnsi="Arial"/>
          <w:sz w:val="22"/>
          <w:szCs w:val="22"/>
        </w:rPr>
      </w:pPr>
      <w:r w:rsidRPr="00B711ED">
        <w:rPr>
          <w:rFonts w:ascii="Arial" w:hAnsi="Arial"/>
          <w:sz w:val="22"/>
          <w:szCs w:val="22"/>
        </w:rPr>
        <w:t>Teilaufgabe 1 zeigt, wie man auch mit grundlegenden mathematischen Inhalten Modellierungskompetenzen (K3) überprüfen kann. Um Modellierungskompetenzen zu fördern, wäre es wünschenswert solch reine Textaufgaben auszubauen, um daraus echte Modellierungs-probleme für die Schülerinnen und Schüler zu machen.</w:t>
      </w:r>
    </w:p>
    <w:p w:rsidR="00B711ED" w:rsidRPr="00B711ED" w:rsidRDefault="00B711ED" w:rsidP="00B711ED">
      <w:pPr>
        <w:rPr>
          <w:rFonts w:ascii="Arial" w:hAnsi="Arial"/>
          <w:sz w:val="22"/>
          <w:szCs w:val="22"/>
        </w:rPr>
      </w:pPr>
      <w:r w:rsidRPr="00B711ED">
        <w:rPr>
          <w:rFonts w:ascii="Arial" w:hAnsi="Arial"/>
          <w:sz w:val="22"/>
          <w:szCs w:val="22"/>
        </w:rPr>
        <w:t>Denkbar wäre es, als Kontext einen Klassenausflug zu verwenden, bei dem z. B. Vierer- und Einzeltickets für eine Busfahrt zur Verfügung stehen. Die Schülerinnen und Schüler sollen dann selbst die günstigste Verteilung beider Ticketarten herausfinden, wobei die Anzahl der Klassenmitglieder nicht durch vier teilbar sein darf.</w:t>
      </w:r>
    </w:p>
    <w:p w:rsidR="00B711ED" w:rsidRPr="00B711ED" w:rsidRDefault="00B711ED" w:rsidP="00B711ED">
      <w:pPr>
        <w:rPr>
          <w:rFonts w:ascii="Arial" w:hAnsi="Arial"/>
          <w:sz w:val="22"/>
          <w:szCs w:val="22"/>
        </w:rPr>
      </w:pPr>
      <w:r w:rsidRPr="00B711ED">
        <w:rPr>
          <w:rFonts w:ascii="Arial" w:hAnsi="Arial"/>
          <w:sz w:val="22"/>
          <w:szCs w:val="22"/>
        </w:rPr>
        <w:t>Hat man diese Einführungsaufgabe bewältigt, könnte eine Fahrt mit mehreren Einzelfahrten konstruiert werden, bei der die Schülerinnen und Schüler den günstigsten Tarif aus verschiedenen Tarifangeboten (Tageskarten) usw. ermitteln müssen. Auch Eintrittspreise für einen Zoo oder ähnliches können dabei eine Rolle spielen.</w:t>
      </w:r>
    </w:p>
    <w:p w:rsidR="00694A63" w:rsidRPr="007E6CC0" w:rsidRDefault="00B711ED" w:rsidP="00B711ED">
      <w:pPr>
        <w:rPr>
          <w:rFonts w:ascii="Arial" w:hAnsi="Arial"/>
          <w:sz w:val="22"/>
          <w:szCs w:val="22"/>
        </w:rPr>
      </w:pPr>
      <w:r w:rsidRPr="00B711ED">
        <w:rPr>
          <w:rFonts w:ascii="Arial" w:hAnsi="Arial"/>
          <w:sz w:val="22"/>
          <w:szCs w:val="22"/>
        </w:rPr>
        <w:t>Aus motivationalen Gründen ist es wünschenswert, wenn möglichst authentisches Datenmaterial verwendet wird (z. B. Preistafeln eines regionalen Verkehrsverbundes). Damit würde die Aufgabe auch auf die Kompetenz mathematische Darstellungen verwenden (K4) abzielen. Falls es möglich ist, können Schülerinnen und Schüler auch in die finanzielle Planung einer Klassenfahrt einbezogen werden. Die Lehrperson koordiniert dann die Planung und delegiert Teilaufgaben an Schülerinnen und Schüler. Dadurch wird den Schülerinnen und Schülern ein Rahmen vorgegeben (</w:t>
      </w:r>
      <w:proofErr w:type="spellStart"/>
      <w:r w:rsidRPr="00B711ED">
        <w:rPr>
          <w:rFonts w:ascii="Arial" w:hAnsi="Arial"/>
          <w:sz w:val="22"/>
          <w:szCs w:val="22"/>
        </w:rPr>
        <w:t>Scaffolding</w:t>
      </w:r>
      <w:proofErr w:type="spellEnd"/>
      <w:r w:rsidRPr="00B711ED">
        <w:rPr>
          <w:rFonts w:ascii="Arial" w:hAnsi="Arial"/>
          <w:sz w:val="22"/>
          <w:szCs w:val="22"/>
        </w:rPr>
        <w:t xml:space="preserve">), in dem sie ihre Tätigkeiten als sinnvoll erfahren. In dem hier vorgestellten Beispiel wäre der übergeordnete Rahmen die Organisation einer Klassenfahrt und die Teilaufgabe </w:t>
      </w:r>
      <w:r w:rsidRPr="00B711ED">
        <w:rPr>
          <w:rFonts w:ascii="Arial" w:hAnsi="Arial"/>
          <w:sz w:val="22"/>
          <w:szCs w:val="22"/>
        </w:rPr>
        <w:lastRenderedPageBreak/>
        <w:t>bestünde in der Ermittlung möglichst günstiger Preise für die An- und Abreise (vgl. auch Collins/ Brown, Newman 1989).</w:t>
      </w:r>
      <w:bookmarkStart w:id="0" w:name="_GoBack"/>
      <w:bookmarkEnd w:id="0"/>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79DE30CC-B7A5-4A72-A02A-2AE388DA0E79}"/>
    <w:embedBold r:id="rId2" w:fontKey="{FC95B1B0-A951-445C-BD68-39C5A26A8C6C}"/>
    <w:embedBoldItalic r:id="rId3" w:fontKey="{626B5F8C-A112-4DBE-B64B-9834215E013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65337FF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549A56-8873-4133-944A-8E2E25703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435</Words>
  <Characters>3007</Characters>
  <Application>Microsoft Office Word</Application>
  <DocSecurity>0</DocSecurity>
  <Lines>63</Lines>
  <Paragraphs>41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2025-05-22T13:07:00Z</dcterms:created>
  <dcterms:modified xsi:type="dcterms:W3CDTF">2025-05-22T13:07:00Z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